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高品质有色金属绿色特种冶金国家工程研究中心</w:t>
      </w:r>
    </w:p>
    <w:p>
      <w:pPr>
        <w:spacing w:line="560" w:lineRule="exact"/>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2022年博士后研究人员招聘</w:t>
      </w:r>
    </w:p>
    <w:p>
      <w:pPr>
        <w:rPr>
          <w:rFonts w:hint="eastAsia" w:ascii="微软雅黑" w:hAnsi="微软雅黑" w:eastAsia="微软雅黑" w:cs="微软雅黑"/>
          <w:sz w:val="28"/>
          <w:szCs w:val="28"/>
        </w:rPr>
      </w:pP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一、中心简介</w:t>
      </w:r>
    </w:p>
    <w:p>
      <w:pPr>
        <w:spacing w:line="560" w:lineRule="exact"/>
        <w:ind w:firstLine="560" w:firstLineChars="20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高品质有色金属绿色特种冶金国家工程研究中心（原生物冶金国家工程实验室，简称绿色冶金国家工程研究中心）是2005年国家发展改革委批准建立首批3家国家工程实验室之一，依托有研科技集团有限公司（北京有色金属研究总院）建设，有研资源环境技术研究院（北京）有限公司（简称有研资环院）管理，2010年建成验收，是资源加工与冶金领域国内知名多学科融合的国家级创新研发平台，是我国绿色选冶、高纯金属及制品、功能材料、环境保护等领域的基础理论、新技术、新材料、新装备研发及服务的重点科研单位，荣获中央企业青年文明号，2021年7月19日获批为国家发改委第一批新序列管理的国家工程研究中心。我国著名矿物和冶金工程学家王淀佐院士担任绿色冶金国家工程研究中心技术委员会主任，指导领域建设、科学研究、技术开发和学术活动，先后有4名院士在选矿冶金、材料研究与生产领域做出了卓越贡献。</w:t>
      </w:r>
    </w:p>
    <w:p>
      <w:pPr>
        <w:spacing w:line="560" w:lineRule="exact"/>
        <w:ind w:firstLine="560" w:firstLineChars="20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绿色冶金国家工程研究中心目前主要从事绿色选冶、高纯金属及制品、功能材料、环境保护等领域的基础理论、新技术、新材料、新装备研发及生产服务，具有先进研发设施和试验条件，可进行小试、中试和产业化应用研发试验，还拥有材料产品的批量生产能力，具有承担重大科技攻关任务和解决复杂技术难题的综合研究实力。研发中心位于有研集团怀柔基地北京怀柔综合性国家科学中心有色金属新材料科创园，中试及产业基地位于有研集团二部基地（通州区），总建筑面积13500平方米。</w:t>
      </w:r>
    </w:p>
    <w:p>
      <w:pPr>
        <w:spacing w:line="560" w:lineRule="exact"/>
        <w:ind w:firstLine="560" w:firstLineChars="20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绿色冶金国家工程研究中心所依托的有研资环院现有绿色选冶事业部、功能材料事业部、环境保护事业部、分析测试中心四个业务部门，从事有色金属资源绿色高效选矿冶金技术、功能新材料、生态环保技术、工艺矿物学研究与分析检测技术的研发、生产与服务。公司拥有一支以王淀佐院士为学术带头人的高素质人才队伍，截止2022年3月，公司团队人员210余人，其中两院院士1人，享受政府津贴专家6人，新世纪国家百千万人才1人，中国有色金属杰出工程师1人、杰出青年工程师1人，北京市科技新星1人，北京市新世纪百千万人才1人，北京市优秀青年工程师2人；正高级、高级工程师61人，博士生导师6人，硕士生导师26人，在学硕、博士研究生近50人，其中博士研究生13人。</w:t>
      </w:r>
    </w:p>
    <w:p>
      <w:pPr>
        <w:rPr>
          <w:rFonts w:hint="eastAsia" w:ascii="微软雅黑" w:hAnsi="微软雅黑" w:eastAsia="微软雅黑" w:cs="微软雅黑"/>
          <w:bCs/>
          <w:sz w:val="28"/>
          <w:szCs w:val="28"/>
        </w:rPr>
      </w:pPr>
    </w:p>
    <w:p>
      <w:pPr>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绿色选冶领域：</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绿色高效选矿技术与工程</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生物/湿法冶金技术与工程</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稀有稀散金属冶金技术与工程</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高纯金属提纯及制品技术</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工艺矿物学研究与分析测试</w:t>
      </w:r>
    </w:p>
    <w:p>
      <w:pPr>
        <w:ind w:firstLine="560" w:firstLineChars="20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拥有复杂难处理资源高效选矿、低品位资源微生物/湿法冶金、新资源（二次资源）绿色选冶协同、高纯金属提纯制备、绿色环保选冶药剂等技术，授权发明专利近100件，获国家科技进步一等奖1项，二等奖2项；省部级一等奖、二等奖近20项。</w:t>
      </w:r>
    </w:p>
    <w:p>
      <w:pPr>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功能材料领域：</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光学镀膜材料</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陶瓷溅射靶材</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结构/功能陶瓷材料</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中子吸收材料及器具</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中子慢化材料</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高纯稀有金属材料及其制品</w:t>
      </w:r>
    </w:p>
    <w:p>
      <w:pPr>
        <w:pStyle w:val="8"/>
        <w:numPr>
          <w:ilvl w:val="0"/>
          <w:numId w:val="1"/>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冶化工艺配套材料</w:t>
      </w:r>
    </w:p>
    <w:p>
      <w:pPr>
        <w:ind w:firstLine="560" w:firstLineChars="20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拥有多种高纯金属及功能材料制备与合成技术，在核用材料、精密光学、5G光通讯、新能源、电化学材料等领域拥有较强新产品及其产业化技术研发能力，授权发明专利50余件，获省部级科技进步奖近10项。</w:t>
      </w:r>
    </w:p>
    <w:p>
      <w:pPr>
        <w:rPr>
          <w:rFonts w:hint="eastAsia" w:ascii="微软雅黑" w:hAnsi="微软雅黑" w:eastAsia="微软雅黑" w:cs="微软雅黑"/>
          <w:bCs/>
          <w:sz w:val="28"/>
          <w:szCs w:val="28"/>
        </w:rPr>
      </w:pPr>
    </w:p>
    <w:p>
      <w:pPr>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 xml:space="preserve">环境保护领域： </w:t>
      </w:r>
    </w:p>
    <w:p>
      <w:pPr>
        <w:pStyle w:val="8"/>
        <w:numPr>
          <w:ilvl w:val="0"/>
          <w:numId w:val="2"/>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场地污染治理及生态修复技术及工程</w:t>
      </w:r>
    </w:p>
    <w:p>
      <w:pPr>
        <w:pStyle w:val="8"/>
        <w:numPr>
          <w:ilvl w:val="0"/>
          <w:numId w:val="2"/>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水资源化技术及装备</w:t>
      </w:r>
    </w:p>
    <w:p>
      <w:pPr>
        <w:pStyle w:val="8"/>
        <w:numPr>
          <w:ilvl w:val="0"/>
          <w:numId w:val="2"/>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膜及膜分离技术工程及装备</w:t>
      </w:r>
    </w:p>
    <w:p>
      <w:pPr>
        <w:pStyle w:val="8"/>
        <w:numPr>
          <w:ilvl w:val="0"/>
          <w:numId w:val="2"/>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微生物土壤改良技术及产品</w:t>
      </w:r>
    </w:p>
    <w:p>
      <w:pPr>
        <w:pStyle w:val="8"/>
        <w:numPr>
          <w:ilvl w:val="0"/>
          <w:numId w:val="2"/>
        </w:numPr>
        <w:ind w:firstLineChars="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固废/危废资源化技术</w:t>
      </w:r>
    </w:p>
    <w:p>
      <w:pPr>
        <w:ind w:firstLine="560" w:firstLineChars="200"/>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拥有重金属污染物治理及生态修复技术、膜及膜分离技术、水体治理技术及装备等，授权发明专利56余件，获省部级科技进步一等奖1项、二等奖5项。</w:t>
      </w:r>
    </w:p>
    <w:p>
      <w:pPr>
        <w:ind w:firstLine="560" w:firstLineChars="200"/>
        <w:rPr>
          <w:rFonts w:hint="eastAsia" w:ascii="微软雅黑" w:hAnsi="微软雅黑" w:eastAsia="微软雅黑" w:cs="微软雅黑"/>
          <w:bCs/>
          <w:sz w:val="28"/>
          <w:szCs w:val="28"/>
        </w:rPr>
      </w:pP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二、招收方向</w:t>
      </w:r>
    </w:p>
    <w:p>
      <w:pPr>
        <w:rPr>
          <w:rFonts w:hint="eastAsia" w:ascii="微软雅黑" w:hAnsi="微软雅黑" w:eastAsia="微软雅黑" w:cs="微软雅黑"/>
          <w:sz w:val="28"/>
          <w:szCs w:val="28"/>
        </w:rPr>
      </w:pPr>
      <w:r>
        <w:rPr>
          <w:rFonts w:hint="eastAsia" w:ascii="微软雅黑" w:hAnsi="微软雅黑" w:eastAsia="微软雅黑" w:cs="微软雅黑"/>
          <w:sz w:val="20"/>
          <w:szCs w:val="21"/>
        </w:rPr>
        <w:drawing>
          <wp:inline distT="0" distB="0" distL="0" distR="0">
            <wp:extent cx="5274310" cy="49542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4954270"/>
                    </a:xfrm>
                    <a:prstGeom prst="rect">
                      <a:avLst/>
                    </a:prstGeom>
                    <a:noFill/>
                    <a:ln>
                      <a:noFill/>
                    </a:ln>
                  </pic:spPr>
                </pic:pic>
              </a:graphicData>
            </a:graphic>
          </wp:inline>
        </w:drawing>
      </w:r>
    </w:p>
    <w:p>
      <w:pPr>
        <w:rPr>
          <w:rFonts w:hint="eastAsia" w:ascii="微软雅黑" w:hAnsi="微软雅黑" w:eastAsia="微软雅黑" w:cs="微软雅黑"/>
          <w:sz w:val="28"/>
          <w:szCs w:val="28"/>
        </w:rPr>
      </w:pP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三、应聘条件</w:t>
      </w:r>
    </w:p>
    <w:p>
      <w:pPr>
        <w:numPr>
          <w:ilvl w:val="0"/>
          <w:numId w:val="3"/>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年龄在35周岁以下、获得博士学位不超过3年；</w:t>
      </w:r>
    </w:p>
    <w:p>
      <w:pPr>
        <w:numPr>
          <w:ilvl w:val="0"/>
          <w:numId w:val="3"/>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具有较强的科研创新能力和团队协作精神；</w:t>
      </w:r>
    </w:p>
    <w:p>
      <w:pPr>
        <w:numPr>
          <w:ilvl w:val="0"/>
          <w:numId w:val="3"/>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具有良好的学术道德，身体健康、能胜任岗位工作要求；</w:t>
      </w:r>
    </w:p>
    <w:p>
      <w:pPr>
        <w:numPr>
          <w:ilvl w:val="0"/>
          <w:numId w:val="3"/>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目前已取得显著科研成果的申请者将予以优先考虑；</w:t>
      </w:r>
    </w:p>
    <w:p>
      <w:pPr>
        <w:numPr>
          <w:ilvl w:val="0"/>
          <w:numId w:val="3"/>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具有较强的英语阅读和写作能力；</w:t>
      </w:r>
    </w:p>
    <w:p>
      <w:pPr>
        <w:numPr>
          <w:ilvl w:val="0"/>
          <w:numId w:val="3"/>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全职从事博士后研究工作。</w:t>
      </w:r>
    </w:p>
    <w:p>
      <w:pPr>
        <w:rPr>
          <w:rFonts w:hint="eastAsia" w:ascii="微软雅黑" w:hAnsi="微软雅黑" w:eastAsia="微软雅黑" w:cs="微软雅黑"/>
          <w:sz w:val="28"/>
          <w:szCs w:val="28"/>
        </w:rPr>
      </w:pPr>
    </w:p>
    <w:p>
      <w:pPr>
        <w:ind w:left="110"/>
        <w:rPr>
          <w:rFonts w:hint="eastAsia" w:ascii="微软雅黑" w:hAnsi="微软雅黑" w:eastAsia="微软雅黑" w:cs="微软雅黑"/>
          <w:b/>
          <w:bCs/>
          <w:sz w:val="28"/>
          <w:szCs w:val="28"/>
          <w:highlight w:val="none"/>
        </w:rPr>
      </w:pPr>
      <w:bookmarkStart w:id="0" w:name="_GoBack"/>
      <w:r>
        <w:rPr>
          <w:rFonts w:hint="eastAsia" w:ascii="微软雅黑" w:hAnsi="微软雅黑" w:eastAsia="微软雅黑" w:cs="微软雅黑"/>
          <w:b/>
          <w:bCs/>
          <w:sz w:val="28"/>
          <w:szCs w:val="28"/>
          <w:highlight w:val="none"/>
        </w:rPr>
        <w:t>四、聘期待遇</w:t>
      </w:r>
    </w:p>
    <w:bookmarkEnd w:id="0"/>
    <w:p>
      <w:pPr>
        <w:numPr>
          <w:ilvl w:val="0"/>
          <w:numId w:val="4"/>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提供具有竞争力的薪酬待遇，享受职工福利、六险两金、免费三餐、职工体检等待遇。</w:t>
      </w:r>
    </w:p>
    <w:p>
      <w:pPr>
        <w:numPr>
          <w:ilvl w:val="0"/>
          <w:numId w:val="4"/>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在站期间，鼓励和支持申报中国博士后科学基金、博士后创新人才支持计划、国家博士后国际交流计划等，并可获得经费和项目支持。</w:t>
      </w:r>
    </w:p>
    <w:p>
      <w:pPr>
        <w:numPr>
          <w:ilvl w:val="0"/>
          <w:numId w:val="4"/>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在站期间</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提供</w:t>
      </w:r>
      <w:r>
        <w:rPr>
          <w:rFonts w:hint="eastAsia" w:ascii="微软雅黑" w:hAnsi="微软雅黑" w:eastAsia="微软雅黑" w:cs="微软雅黑"/>
          <w:sz w:val="28"/>
          <w:szCs w:val="28"/>
          <w:lang w:val="en-US" w:eastAsia="zh-CN"/>
        </w:rPr>
        <w:t>北京市北三环附近</w:t>
      </w:r>
      <w:r>
        <w:rPr>
          <w:rFonts w:hint="eastAsia" w:ascii="微软雅黑" w:hAnsi="微软雅黑" w:eastAsia="微软雅黑" w:cs="微软雅黑"/>
          <w:sz w:val="28"/>
          <w:szCs w:val="28"/>
        </w:rPr>
        <w:t>两室一厅的博士后公寓</w:t>
      </w:r>
      <w:r>
        <w:rPr>
          <w:rFonts w:hint="eastAsia" w:ascii="微软雅黑" w:hAnsi="微软雅黑" w:eastAsia="微软雅黑" w:cs="微软雅黑"/>
          <w:sz w:val="28"/>
          <w:szCs w:val="28"/>
          <w:lang w:val="en-US" w:eastAsia="zh-CN"/>
        </w:rPr>
        <w:t>1套</w:t>
      </w:r>
      <w:r>
        <w:rPr>
          <w:rFonts w:hint="eastAsia" w:ascii="微软雅黑" w:hAnsi="微软雅黑" w:eastAsia="微软雅黑" w:cs="微软雅黑"/>
          <w:sz w:val="28"/>
          <w:szCs w:val="28"/>
        </w:rPr>
        <w:t>（燃气、水电费自理）。</w:t>
      </w:r>
    </w:p>
    <w:p>
      <w:pPr>
        <w:numPr>
          <w:ilvl w:val="0"/>
          <w:numId w:val="4"/>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出站后择优留本单位从事科研工作，按照博士后管理政策办理有关落户事宜。</w:t>
      </w:r>
    </w:p>
    <w:p>
      <w:pPr>
        <w:numPr>
          <w:ilvl w:val="0"/>
          <w:numId w:val="4"/>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公司可协助解决博士后子女上学入托问题。</w:t>
      </w:r>
    </w:p>
    <w:p>
      <w:pPr>
        <w:rPr>
          <w:rFonts w:hint="eastAsia" w:ascii="微软雅黑" w:hAnsi="微软雅黑" w:eastAsia="微软雅黑" w:cs="微软雅黑"/>
          <w:sz w:val="28"/>
          <w:szCs w:val="28"/>
        </w:rPr>
      </w:pP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五、应聘方式</w:t>
      </w:r>
    </w:p>
    <w:p>
      <w:pPr>
        <w:numPr>
          <w:ilvl w:val="0"/>
          <w:numId w:val="5"/>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请应聘者将个人简历及反映本人学术水平的近5年代表性成果以电子文档形式发</w:t>
      </w:r>
      <w:r>
        <w:rPr>
          <w:rFonts w:hint="eastAsia" w:ascii="微软雅黑" w:hAnsi="微软雅黑" w:eastAsia="微软雅黑" w:cs="微软雅黑"/>
          <w:sz w:val="28"/>
          <w:szCs w:val="28"/>
          <w:lang w:val="en-US" w:eastAsia="zh-CN"/>
        </w:rPr>
        <w:t>至</w:t>
      </w:r>
      <w:r>
        <w:rPr>
          <w:rFonts w:hint="eastAsia" w:ascii="微软雅黑" w:hAnsi="微软雅黑" w:eastAsia="微软雅黑" w:cs="微软雅黑"/>
          <w:sz w:val="28"/>
          <w:szCs w:val="28"/>
        </w:rPr>
        <w:t>联系人邮箱。</w:t>
      </w:r>
    </w:p>
    <w:p>
      <w:pPr>
        <w:numPr>
          <w:ilvl w:val="0"/>
          <w:numId w:val="5"/>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初审合格者将被通知面试，面试请准备如下材料给专家组审核：</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a个人简历</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b学位证明复印件</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c反映本人学术水平的近5年代表性成果复印件</w:t>
      </w:r>
    </w:p>
    <w:p>
      <w:pPr>
        <w:rPr>
          <w:rFonts w:hint="eastAsia" w:ascii="微软雅黑" w:hAnsi="微软雅黑" w:eastAsia="微软雅黑" w:cs="微软雅黑"/>
          <w:sz w:val="28"/>
          <w:szCs w:val="28"/>
        </w:rPr>
      </w:pP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六、联系方式</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联系人：尹经理</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联系电话：010-60662736</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w:t>
      </w:r>
      <w:r>
        <w:rPr>
          <w:rFonts w:hint="eastAsia" w:ascii="微软雅黑" w:hAnsi="微软雅黑" w:eastAsia="微软雅黑" w:cs="微软雅黑"/>
          <w:sz w:val="20"/>
          <w:szCs w:val="21"/>
        </w:rPr>
        <w:fldChar w:fldCharType="begin"/>
      </w:r>
      <w:r>
        <w:rPr>
          <w:rFonts w:hint="eastAsia" w:ascii="微软雅黑" w:hAnsi="微软雅黑" w:eastAsia="微软雅黑" w:cs="微软雅黑"/>
          <w:sz w:val="20"/>
          <w:szCs w:val="21"/>
        </w:rPr>
        <w:instrText xml:space="preserve"> HYPERLINK "mailto:grirethr@grinm.com" </w:instrText>
      </w:r>
      <w:r>
        <w:rPr>
          <w:rFonts w:hint="eastAsia" w:ascii="微软雅黑" w:hAnsi="微软雅黑" w:eastAsia="微软雅黑" w:cs="微软雅黑"/>
          <w:sz w:val="20"/>
          <w:szCs w:val="21"/>
        </w:rPr>
        <w:fldChar w:fldCharType="separate"/>
      </w:r>
      <w:r>
        <w:rPr>
          <w:rStyle w:val="7"/>
          <w:rFonts w:hint="eastAsia" w:ascii="微软雅黑" w:hAnsi="微软雅黑" w:eastAsia="微软雅黑" w:cs="微软雅黑"/>
          <w:color w:val="auto"/>
          <w:sz w:val="28"/>
          <w:szCs w:val="28"/>
        </w:rPr>
        <w:t>grirethr@grinm.com</w:t>
      </w:r>
      <w:r>
        <w:rPr>
          <w:rStyle w:val="7"/>
          <w:rFonts w:hint="eastAsia" w:ascii="微软雅黑" w:hAnsi="微软雅黑" w:eastAsia="微软雅黑" w:cs="微软雅黑"/>
          <w:color w:val="auto"/>
          <w:sz w:val="28"/>
          <w:szCs w:val="28"/>
        </w:rPr>
        <w:fldChar w:fldCharType="end"/>
      </w:r>
      <w:r>
        <w:rPr>
          <w:rFonts w:hint="eastAsia" w:ascii="微软雅黑" w:hAnsi="微软雅黑" w:eastAsia="微软雅黑" w:cs="微软雅黑"/>
          <w:sz w:val="28"/>
          <w:szCs w:val="28"/>
        </w:rPr>
        <w:t>（邮件标题格式：应聘博士后+姓名）</w:t>
      </w:r>
    </w:p>
    <w:p>
      <w:pPr>
        <w:rPr>
          <w:rFonts w:hint="eastAsia" w:ascii="微软雅黑" w:hAnsi="微软雅黑" w:eastAsia="微软雅黑" w:cs="微软雅黑"/>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91DA0793-1B66-4116-AAE1-6A4C87A2A8A6}"/>
  </w:font>
  <w:font w:name="微软雅黑">
    <w:panose1 w:val="020B0503020204020204"/>
    <w:charset w:val="86"/>
    <w:family w:val="auto"/>
    <w:pitch w:val="default"/>
    <w:sig w:usb0="80000287" w:usb1="2ACF3C50" w:usb2="00000016" w:usb3="00000000" w:csb0="0004001F" w:csb1="00000000"/>
    <w:embedRegular r:id="rId2" w:fontKey="{86EB7279-9687-43AF-815C-417FF4A1703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8068D"/>
    <w:multiLevelType w:val="multilevel"/>
    <w:tmpl w:val="0128068D"/>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
    <w:nsid w:val="3BAC0707"/>
    <w:multiLevelType w:val="multilevel"/>
    <w:tmpl w:val="3BAC07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47B7FC7"/>
    <w:multiLevelType w:val="multilevel"/>
    <w:tmpl w:val="647B7FC7"/>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3">
    <w:nsid w:val="6F387FDC"/>
    <w:multiLevelType w:val="multilevel"/>
    <w:tmpl w:val="6F387FDC"/>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4">
    <w:nsid w:val="6FFC667D"/>
    <w:multiLevelType w:val="multilevel"/>
    <w:tmpl w:val="6FFC66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FD"/>
    <w:rsid w:val="00032990"/>
    <w:rsid w:val="00055B01"/>
    <w:rsid w:val="00085501"/>
    <w:rsid w:val="00123F6E"/>
    <w:rsid w:val="00126028"/>
    <w:rsid w:val="00141546"/>
    <w:rsid w:val="001B4FB3"/>
    <w:rsid w:val="00306A36"/>
    <w:rsid w:val="003C3E00"/>
    <w:rsid w:val="0059444B"/>
    <w:rsid w:val="005F6B09"/>
    <w:rsid w:val="007215FD"/>
    <w:rsid w:val="007274DC"/>
    <w:rsid w:val="00754A26"/>
    <w:rsid w:val="007A5451"/>
    <w:rsid w:val="007C0BFD"/>
    <w:rsid w:val="007D5882"/>
    <w:rsid w:val="007E56BE"/>
    <w:rsid w:val="008100F0"/>
    <w:rsid w:val="00874D0C"/>
    <w:rsid w:val="0088405F"/>
    <w:rsid w:val="008B184B"/>
    <w:rsid w:val="008C0553"/>
    <w:rsid w:val="008E03F2"/>
    <w:rsid w:val="00994C04"/>
    <w:rsid w:val="009D34AB"/>
    <w:rsid w:val="00A07377"/>
    <w:rsid w:val="00B058A0"/>
    <w:rsid w:val="00B8338A"/>
    <w:rsid w:val="00BF5000"/>
    <w:rsid w:val="00C01461"/>
    <w:rsid w:val="00C93AB3"/>
    <w:rsid w:val="00CE4A9D"/>
    <w:rsid w:val="00E94986"/>
    <w:rsid w:val="00F07440"/>
    <w:rsid w:val="00F34125"/>
    <w:rsid w:val="00F8493A"/>
    <w:rsid w:val="00FD4572"/>
    <w:rsid w:val="0A196E35"/>
    <w:rsid w:val="1366282D"/>
    <w:rsid w:val="13837427"/>
    <w:rsid w:val="1B1D1533"/>
    <w:rsid w:val="1C941E90"/>
    <w:rsid w:val="1FD80C3F"/>
    <w:rsid w:val="22042CE5"/>
    <w:rsid w:val="22934ABC"/>
    <w:rsid w:val="2E0B5B7F"/>
    <w:rsid w:val="2E140C39"/>
    <w:rsid w:val="30263670"/>
    <w:rsid w:val="328C1008"/>
    <w:rsid w:val="3615084C"/>
    <w:rsid w:val="37025C5E"/>
    <w:rsid w:val="38C67A4C"/>
    <w:rsid w:val="3D0D3F32"/>
    <w:rsid w:val="43A0540F"/>
    <w:rsid w:val="4B6E0A3F"/>
    <w:rsid w:val="50E656BD"/>
    <w:rsid w:val="60DE25E9"/>
    <w:rsid w:val="62CC6E0A"/>
    <w:rsid w:val="6AE33F9B"/>
    <w:rsid w:val="71CF7614"/>
    <w:rsid w:val="728C46A7"/>
    <w:rsid w:val="797A1E18"/>
    <w:rsid w:val="7A4F70AE"/>
    <w:rsid w:val="7AFA4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1820</Words>
  <Characters>1882</Characters>
  <Lines>14</Lines>
  <Paragraphs>4</Paragraphs>
  <TotalTime>0</TotalTime>
  <ScaleCrop>false</ScaleCrop>
  <LinksUpToDate>false</LinksUpToDate>
  <CharactersWithSpaces>1883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2022-04-18T07:01:00Z</dcterms:created>
  <dc:creator>Tongtong Tongtong</dc:creator>
  <cp:lastModifiedBy>多巴胺小王子</cp:lastModifiedBy>
  <cp:lastPrinted>2022-04-02T01:36:00Z</cp:lastPrinted>
  <dcterms:modified xsi:type="dcterms:W3CDTF">2022-04-20T07:34:02Z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80F8CC70967A453C82198D8911A0355E</vt:lpwstr>
  </property>
</Properties>
</file>